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0CAA2" w14:textId="77777777" w:rsidR="00540D58" w:rsidRDefault="00540D58" w:rsidP="002C76CC">
      <w:pPr>
        <w:rPr>
          <w:b/>
        </w:rPr>
      </w:pPr>
    </w:p>
    <w:p w14:paraId="258A6B8A" w14:textId="77777777" w:rsidR="00540D58" w:rsidRDefault="006E7D3E">
      <w:pPr>
        <w:rPr>
          <w:rFonts w:ascii="Arial Narrow" w:eastAsia="Arial Narrow" w:hAnsi="Arial Narrow" w:cs="Arial Narrow"/>
          <w:b/>
          <w:color w:val="007C50"/>
          <w:sz w:val="40"/>
          <w:szCs w:val="40"/>
        </w:rPr>
      </w:pPr>
      <w:r>
        <w:rPr>
          <w:noProof/>
        </w:rPr>
        <mc:AlternateContent>
          <mc:Choice Requires="wps">
            <w:drawing>
              <wp:anchor distT="0" distB="0" distL="0" distR="0" simplePos="0" relativeHeight="251658240" behindDoc="0" locked="0" layoutInCell="1" hidden="0" allowOverlap="1" wp14:anchorId="7DE5A9AD" wp14:editId="6EAB5C2A">
                <wp:simplePos x="0" y="0"/>
                <wp:positionH relativeFrom="column">
                  <wp:posOffset>0</wp:posOffset>
                </wp:positionH>
                <wp:positionV relativeFrom="paragraph">
                  <wp:posOffset>330200</wp:posOffset>
                </wp:positionV>
                <wp:extent cx="5917109" cy="333375"/>
                <wp:effectExtent l="0" t="0" r="0" b="0"/>
                <wp:wrapSquare wrapText="bothSides" distT="0" distB="0" distL="0" distR="0"/>
                <wp:docPr id="48" name="Rectángulo 48"/>
                <wp:cNvGraphicFramePr/>
                <a:graphic xmlns:a="http://schemas.openxmlformats.org/drawingml/2006/main">
                  <a:graphicData uri="http://schemas.microsoft.com/office/word/2010/wordprocessingShape">
                    <wps:wsp>
                      <wps:cNvSpPr/>
                      <wps:spPr>
                        <a:xfrm>
                          <a:off x="2425546" y="3651413"/>
                          <a:ext cx="5840909" cy="257175"/>
                        </a:xfrm>
                        <a:prstGeom prst="rect">
                          <a:avLst/>
                        </a:prstGeom>
                        <a:solidFill>
                          <a:srgbClr val="00A76A"/>
                        </a:solidFill>
                        <a:ln>
                          <a:noFill/>
                        </a:ln>
                      </wps:spPr>
                      <wps:txbx>
                        <w:txbxContent>
                          <w:p w14:paraId="23FF6484" w14:textId="77777777" w:rsidR="00540D58" w:rsidRDefault="006E7D3E">
                            <w:pPr>
                              <w:spacing w:line="264" w:lineRule="auto"/>
                              <w:jc w:val="center"/>
                              <w:textDirection w:val="btLr"/>
                            </w:pPr>
                            <w:r>
                              <w:rPr>
                                <w:b/>
                                <w:smallCaps/>
                                <w:color w:val="FFFFFF"/>
                                <w:sz w:val="24"/>
                              </w:rPr>
                              <w:t>NOTA DE PRENSA</w:t>
                            </w:r>
                          </w:p>
                        </w:txbxContent>
                      </wps:txbx>
                      <wps:bodyPr spcFirstLastPara="1" wrap="square" lIns="0" tIns="0" rIns="0" bIns="0" anchor="ctr" anchorCtr="0">
                        <a:noAutofit/>
                      </wps:bodyPr>
                    </wps:wsp>
                  </a:graphicData>
                </a:graphic>
              </wp:anchor>
            </w:drawing>
          </mc:Choice>
          <mc:Fallback>
            <w:pict>
              <v:rect w14:anchorId="7DE5A9AD" id="Rectángulo 48" o:spid="_x0000_s1026" style="position:absolute;margin-left:0;margin-top:26pt;width:465.9pt;height:26.2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" fillcolor="#00a76a" stroked="f">
                <v:textbox inset="0,0,0,0">
                  <w:txbxContent>
                    <w:p w14:paraId="23FF6484" w14:textId="77777777" w:rsidR="00540D58" w:rsidRDefault="006E7D3E">
                      <w:pPr>
                        <w:spacing w:line="264" w:lineRule="auto"/>
                        <w:jc w:val="center"/>
                        <w:textDirection w:val="btLr"/>
                      </w:pPr>
                      <w:r>
                        <w:rPr>
                          <w:b/>
                          <w:smallCaps/>
                          <w:color w:val="FFFFFF"/>
                          <w:sz w:val="24"/>
                        </w:rPr>
                        <w:t>NOTA DE PRENSA</w:t>
                      </w:r>
                    </w:p>
                  </w:txbxContent>
                </v:textbox>
                <w10:wrap type="square"/>
              </v:rect>
            </w:pict>
          </mc:Fallback>
        </mc:AlternateContent>
      </w:r>
    </w:p>
    <w:p w14:paraId="4A4C59EF" w14:textId="4CF2136E" w:rsidR="00540D58" w:rsidRDefault="00D622D7">
      <w:pPr>
        <w:jc w:val="center"/>
        <w:rPr>
          <w:rFonts w:ascii="Arial Narrow" w:eastAsia="Arial Narrow" w:hAnsi="Arial Narrow" w:cs="Arial Narrow"/>
          <w:b/>
          <w:color w:val="007C50"/>
          <w:sz w:val="40"/>
          <w:szCs w:val="40"/>
        </w:rPr>
      </w:pPr>
      <w:r>
        <w:rPr>
          <w:rFonts w:ascii="Arial Narrow" w:eastAsia="Arial Narrow" w:hAnsi="Arial Narrow" w:cs="Arial Narrow"/>
          <w:b/>
          <w:color w:val="007C50"/>
          <w:sz w:val="40"/>
          <w:szCs w:val="40"/>
        </w:rPr>
        <w:t xml:space="preserve">COLONIAL VENDE </w:t>
      </w:r>
      <w:r w:rsidR="006E7D3E">
        <w:rPr>
          <w:rFonts w:ascii="Arial Narrow" w:eastAsia="Arial Narrow" w:hAnsi="Arial Narrow" w:cs="Arial Narrow"/>
          <w:b/>
          <w:color w:val="007C50"/>
          <w:sz w:val="40"/>
          <w:szCs w:val="40"/>
        </w:rPr>
        <w:t xml:space="preserve">UN EDIFICIO DE OFICINAS </w:t>
      </w:r>
    </w:p>
    <w:p w14:paraId="6E2306A1" w14:textId="48C95E86" w:rsidR="00540D58" w:rsidRDefault="006E7D3E">
      <w:pPr>
        <w:jc w:val="center"/>
        <w:rPr>
          <w:rFonts w:ascii="Arial Narrow" w:eastAsia="Arial Narrow" w:hAnsi="Arial Narrow" w:cs="Arial Narrow"/>
          <w:b/>
          <w:color w:val="007C50"/>
          <w:sz w:val="40"/>
          <w:szCs w:val="40"/>
        </w:rPr>
      </w:pPr>
      <w:r>
        <w:rPr>
          <w:rFonts w:ascii="Arial Narrow" w:eastAsia="Arial Narrow" w:hAnsi="Arial Narrow" w:cs="Arial Narrow"/>
          <w:b/>
          <w:color w:val="007C50"/>
          <w:sz w:val="40"/>
          <w:szCs w:val="40"/>
        </w:rPr>
        <w:t xml:space="preserve">EN MADRID </w:t>
      </w:r>
    </w:p>
    <w:p w14:paraId="50C24267" w14:textId="77777777" w:rsidR="00540D58" w:rsidRDefault="00540D58">
      <w:pPr>
        <w:jc w:val="center"/>
        <w:rPr>
          <w:b/>
        </w:rPr>
      </w:pPr>
    </w:p>
    <w:p w14:paraId="38730CA6" w14:textId="6DB9192D" w:rsidR="00540D58" w:rsidRDefault="006E7D3E">
      <w:pPr>
        <w:numPr>
          <w:ilvl w:val="0"/>
          <w:numId w:val="1"/>
        </w:numPr>
        <w:pBdr>
          <w:top w:val="nil"/>
          <w:left w:val="nil"/>
          <w:bottom w:val="nil"/>
          <w:right w:val="nil"/>
          <w:between w:val="nil"/>
        </w:pBdr>
        <w:rPr>
          <w:b/>
          <w:color w:val="000000"/>
        </w:rPr>
      </w:pPr>
      <w:r>
        <w:rPr>
          <w:b/>
          <w:color w:val="000000"/>
        </w:rPr>
        <w:t xml:space="preserve">El </w:t>
      </w:r>
      <w:r>
        <w:rPr>
          <w:b/>
        </w:rPr>
        <w:t>activo</w:t>
      </w:r>
      <w:r>
        <w:rPr>
          <w:b/>
          <w:color w:val="000000"/>
        </w:rPr>
        <w:t xml:space="preserve"> se sitúa en </w:t>
      </w:r>
      <w:r w:rsidR="00DD55A4">
        <w:rPr>
          <w:b/>
          <w:color w:val="000000"/>
        </w:rPr>
        <w:t xml:space="preserve">la Calle Ramírez de Arellano </w:t>
      </w:r>
      <w:r>
        <w:rPr>
          <w:b/>
          <w:color w:val="000000"/>
        </w:rPr>
        <w:t xml:space="preserve">y su superficie supera los </w:t>
      </w:r>
      <w:r w:rsidR="00DD55A4">
        <w:rPr>
          <w:b/>
          <w:color w:val="000000"/>
        </w:rPr>
        <w:t>6.600</w:t>
      </w:r>
      <w:r>
        <w:rPr>
          <w:b/>
          <w:color w:val="000000"/>
        </w:rPr>
        <w:t xml:space="preserve"> m2.</w:t>
      </w:r>
    </w:p>
    <w:p w14:paraId="19B9444D" w14:textId="77777777" w:rsidR="005460CD" w:rsidRDefault="005460CD" w:rsidP="005460CD">
      <w:pPr>
        <w:numPr>
          <w:ilvl w:val="0"/>
          <w:numId w:val="1"/>
        </w:numPr>
        <w:pBdr>
          <w:top w:val="nil"/>
          <w:left w:val="nil"/>
          <w:bottom w:val="nil"/>
          <w:right w:val="nil"/>
          <w:between w:val="nil"/>
        </w:pBdr>
        <w:rPr>
          <w:b/>
          <w:color w:val="000000"/>
        </w:rPr>
      </w:pPr>
      <w:r>
        <w:rPr>
          <w:b/>
          <w:color w:val="000000"/>
        </w:rPr>
        <w:t xml:space="preserve">BNP </w:t>
      </w:r>
      <w:proofErr w:type="spellStart"/>
      <w:r>
        <w:rPr>
          <w:b/>
          <w:color w:val="000000"/>
        </w:rPr>
        <w:t>Paribas</w:t>
      </w:r>
      <w:proofErr w:type="spellEnd"/>
      <w:r>
        <w:rPr>
          <w:b/>
          <w:color w:val="000000"/>
        </w:rPr>
        <w:t xml:space="preserve"> Real Estate ha asesorado al comprador en la compra del edificio.</w:t>
      </w:r>
    </w:p>
    <w:p w14:paraId="47821BE4" w14:textId="77777777" w:rsidR="00540D58" w:rsidRDefault="00540D58"/>
    <w:p w14:paraId="6574C594" w14:textId="77777777" w:rsidR="00540D58" w:rsidRDefault="00540D58"/>
    <w:p w14:paraId="4BCCB11B" w14:textId="7A1EEF74" w:rsidR="00540D58" w:rsidRDefault="006E7D3E">
      <w:pPr>
        <w:jc w:val="both"/>
      </w:pPr>
      <w:r>
        <w:rPr>
          <w:b/>
        </w:rPr>
        <w:t xml:space="preserve">Madrid, </w:t>
      </w:r>
      <w:r w:rsidR="008F0043">
        <w:rPr>
          <w:b/>
        </w:rPr>
        <w:t>31</w:t>
      </w:r>
      <w:r>
        <w:rPr>
          <w:b/>
        </w:rPr>
        <w:t xml:space="preserve"> de </w:t>
      </w:r>
      <w:proofErr w:type="gramStart"/>
      <w:r w:rsidR="00DD55A4">
        <w:rPr>
          <w:b/>
        </w:rPr>
        <w:t>Octubre</w:t>
      </w:r>
      <w:proofErr w:type="gramEnd"/>
      <w:r>
        <w:rPr>
          <w:b/>
        </w:rPr>
        <w:t xml:space="preserve"> de 2023</w:t>
      </w:r>
      <w:r>
        <w:t xml:space="preserve">.- Inmobiliaria Colonial ha ultimado la operación de venta de un edificio de oficinas en Madrid, que ha contado con el asesoramiento de la consultora inmobiliaria BNP </w:t>
      </w:r>
      <w:proofErr w:type="spellStart"/>
      <w:r>
        <w:t>Paribas</w:t>
      </w:r>
      <w:proofErr w:type="spellEnd"/>
      <w:r>
        <w:t xml:space="preserve"> Real Estate. </w:t>
      </w:r>
    </w:p>
    <w:p w14:paraId="06B339B2" w14:textId="77777777" w:rsidR="00540D58" w:rsidRDefault="00540D58">
      <w:pPr>
        <w:jc w:val="both"/>
      </w:pPr>
    </w:p>
    <w:p w14:paraId="24B90FD2" w14:textId="3B692C90" w:rsidR="00540D58" w:rsidRDefault="006E7D3E">
      <w:pPr>
        <w:jc w:val="both"/>
      </w:pPr>
      <w:r>
        <w:t xml:space="preserve">El activo, que cuenta con una superficie de </w:t>
      </w:r>
      <w:r w:rsidR="00DD55A4">
        <w:t>6</w:t>
      </w:r>
      <w:r w:rsidR="00D622D7">
        <w:t>.</w:t>
      </w:r>
      <w:r w:rsidR="00DD55A4">
        <w:t>670</w:t>
      </w:r>
      <w:r>
        <w:t> m</w:t>
      </w:r>
      <w:r w:rsidRPr="008F0043">
        <w:rPr>
          <w:vertAlign w:val="superscript"/>
        </w:rPr>
        <w:t>2</w:t>
      </w:r>
      <w:r>
        <w:t xml:space="preserve">, está ocupado al </w:t>
      </w:r>
      <w:r w:rsidR="00DD55A4">
        <w:t>100%</w:t>
      </w:r>
      <w:r>
        <w:t xml:space="preserve"> con inquilinos de máximo nivel como </w:t>
      </w:r>
      <w:r w:rsidR="00DD55A4">
        <w:t xml:space="preserve">BNP </w:t>
      </w:r>
      <w:proofErr w:type="spellStart"/>
      <w:r w:rsidR="00DD55A4">
        <w:t>Paribas</w:t>
      </w:r>
      <w:proofErr w:type="spellEnd"/>
      <w:r w:rsidR="00DD55A4">
        <w:t xml:space="preserve"> y la Cámara de Cuenta de Madrid</w:t>
      </w:r>
      <w:r>
        <w:t xml:space="preserve">. </w:t>
      </w:r>
    </w:p>
    <w:p w14:paraId="6AA0C0EE" w14:textId="77777777" w:rsidR="00540D58" w:rsidRDefault="00540D58">
      <w:pPr>
        <w:jc w:val="both"/>
      </w:pPr>
    </w:p>
    <w:p w14:paraId="34165BE7" w14:textId="2D625044" w:rsidR="00540D58" w:rsidRDefault="006E7D3E">
      <w:pPr>
        <w:jc w:val="both"/>
      </w:pPr>
      <w:r>
        <w:t xml:space="preserve">El asesoramiento de la operación lo completan en la parte legal </w:t>
      </w:r>
      <w:r w:rsidR="00DD55A4">
        <w:t>Roca Junyent y R</w:t>
      </w:r>
      <w:r w:rsidR="008B77C2">
        <w:t xml:space="preserve">iva Vidal </w:t>
      </w:r>
      <w:r w:rsidR="00DD55A4">
        <w:t>Abogados</w:t>
      </w:r>
      <w:r>
        <w:t xml:space="preserve"> y en la parte técnica </w:t>
      </w:r>
      <w:r w:rsidR="00DD55A4">
        <w:t>PGI</w:t>
      </w:r>
      <w:r>
        <w:t>.</w:t>
      </w:r>
    </w:p>
    <w:p w14:paraId="58D086E8" w14:textId="77777777" w:rsidR="00540D58" w:rsidRDefault="00540D58">
      <w:pPr>
        <w:jc w:val="both"/>
      </w:pPr>
    </w:p>
    <w:p w14:paraId="3180EA5B" w14:textId="2C263578" w:rsidR="002C76CC" w:rsidRDefault="006E7D3E" w:rsidP="002C76CC">
      <w:pPr>
        <w:jc w:val="both"/>
      </w:pPr>
      <w:r>
        <w:rPr>
          <w:b/>
        </w:rPr>
        <w:t xml:space="preserve">Benjamín Gómez, director de Oficinas de BNP </w:t>
      </w:r>
      <w:proofErr w:type="spellStart"/>
      <w:r w:rsidRPr="00461706">
        <w:rPr>
          <w:b/>
        </w:rPr>
        <w:t>Paribas</w:t>
      </w:r>
      <w:proofErr w:type="spellEnd"/>
      <w:r w:rsidRPr="00461706">
        <w:rPr>
          <w:b/>
        </w:rPr>
        <w:t xml:space="preserve"> Real Estate</w:t>
      </w:r>
      <w:r w:rsidRPr="00461706">
        <w:t>, asegura que “</w:t>
      </w:r>
      <w:r w:rsidR="00461706" w:rsidRPr="00461706">
        <w:t xml:space="preserve">esta venta representa una operación de gran relevancia en el sector oficinas en Madrid. Demuestra que ciertos inversores siguen ganando exposiciones en el sector de las oficinas y, en este caso, que el inversor ha sabido valorar la excelente calidad del inmueble y el activo que supone el </w:t>
      </w:r>
      <w:proofErr w:type="gramStart"/>
      <w:r w:rsidR="00461706" w:rsidRPr="00461706">
        <w:t>portfolio</w:t>
      </w:r>
      <w:proofErr w:type="gramEnd"/>
      <w:r w:rsidR="00461706" w:rsidRPr="00461706">
        <w:t xml:space="preserve"> de inquilinos que lo ocupan</w:t>
      </w:r>
      <w:r w:rsidR="00461706" w:rsidRPr="00461706">
        <w:t>”.</w:t>
      </w:r>
    </w:p>
    <w:p w14:paraId="0305C007" w14:textId="77777777" w:rsidR="002C76CC" w:rsidRDefault="002C76CC">
      <w:r>
        <w:br w:type="page"/>
      </w:r>
    </w:p>
    <w:p w14:paraId="05C4206F" w14:textId="77777777" w:rsidR="00540D58" w:rsidRDefault="00540D58" w:rsidP="002C76CC">
      <w:pPr>
        <w:jc w:val="both"/>
      </w:pPr>
    </w:p>
    <w:p w14:paraId="39AB686B" w14:textId="77777777" w:rsidR="00540D58" w:rsidRDefault="006E7D3E">
      <w:pPr>
        <w:spacing w:line="360" w:lineRule="auto"/>
      </w:pPr>
      <w:r>
        <w:rPr>
          <w:noProof/>
        </w:rPr>
        <mc:AlternateContent>
          <mc:Choice Requires="wpg">
            <w:drawing>
              <wp:anchor distT="0" distB="0" distL="114300" distR="114300" simplePos="0" relativeHeight="251659264" behindDoc="0" locked="0" layoutInCell="1" hidden="0" allowOverlap="1" wp14:anchorId="3EFB9D16" wp14:editId="47E88AB6">
                <wp:simplePos x="0" y="0"/>
                <wp:positionH relativeFrom="column">
                  <wp:posOffset>-304799</wp:posOffset>
                </wp:positionH>
                <wp:positionV relativeFrom="paragraph">
                  <wp:posOffset>114300</wp:posOffset>
                </wp:positionV>
                <wp:extent cx="6478240" cy="2767288"/>
                <wp:effectExtent l="0" t="0" r="18415" b="14605"/>
                <wp:wrapNone/>
                <wp:docPr id="47" name="Grupo 47"/>
                <wp:cNvGraphicFramePr/>
                <a:graphic xmlns:a="http://schemas.openxmlformats.org/drawingml/2006/main">
                  <a:graphicData uri="http://schemas.microsoft.com/office/word/2010/wordprocessingGroup">
                    <wpg:wgp>
                      <wpg:cNvGrpSpPr/>
                      <wpg:grpSpPr>
                        <a:xfrm>
                          <a:off x="0" y="0"/>
                          <a:ext cx="6478240" cy="2767288"/>
                          <a:chOff x="2106865" y="2441738"/>
                          <a:chExt cx="6478270" cy="2767340"/>
                        </a:xfrm>
                      </wpg:grpSpPr>
                      <wpg:grpSp>
                        <wpg:cNvPr id="1" name="Grupo 1"/>
                        <wpg:cNvGrpSpPr/>
                        <wpg:grpSpPr>
                          <a:xfrm>
                            <a:off x="2106865" y="2441738"/>
                            <a:ext cx="6478270" cy="2767340"/>
                            <a:chOff x="2102100" y="2436975"/>
                            <a:chExt cx="6487800" cy="2777214"/>
                          </a:xfrm>
                        </wpg:grpSpPr>
                        <wps:wsp>
                          <wps:cNvPr id="2" name="Rectángulo 2"/>
                          <wps:cNvSpPr/>
                          <wps:spPr>
                            <a:xfrm>
                              <a:off x="2102100" y="2436975"/>
                              <a:ext cx="6487800" cy="2686075"/>
                            </a:xfrm>
                            <a:prstGeom prst="rect">
                              <a:avLst/>
                            </a:prstGeom>
                            <a:noFill/>
                            <a:ln>
                              <a:noFill/>
                            </a:ln>
                          </wps:spPr>
                          <wps:txbx>
                            <w:txbxContent>
                              <w:p w14:paraId="3A14609E" w14:textId="77777777" w:rsidR="00540D58" w:rsidRDefault="00540D58">
                                <w:pPr>
                                  <w:spacing w:line="240" w:lineRule="auto"/>
                                  <w:textDirection w:val="btLr"/>
                                </w:pPr>
                              </w:p>
                            </w:txbxContent>
                          </wps:txbx>
                          <wps:bodyPr spcFirstLastPara="1" wrap="square" lIns="91425" tIns="91425" rIns="91425" bIns="91425" anchor="ctr" anchorCtr="0">
                            <a:noAutofit/>
                          </wps:bodyPr>
                        </wps:wsp>
                        <wpg:grpSp>
                          <wpg:cNvPr id="3" name="Grupo 3"/>
                          <wpg:cNvGrpSpPr/>
                          <wpg:grpSpPr>
                            <a:xfrm>
                              <a:off x="2106865" y="2441736"/>
                              <a:ext cx="6478250" cy="2772453"/>
                              <a:chOff x="76200" y="-53568"/>
                              <a:chExt cx="6478250" cy="2175184"/>
                            </a:xfrm>
                          </wpg:grpSpPr>
                          <wps:wsp>
                            <wps:cNvPr id="4" name="Rectángulo 4"/>
                            <wps:cNvSpPr/>
                            <wps:spPr>
                              <a:xfrm>
                                <a:off x="76200" y="-53566"/>
                                <a:ext cx="6478250" cy="2099900"/>
                              </a:xfrm>
                              <a:prstGeom prst="rect">
                                <a:avLst/>
                              </a:prstGeom>
                              <a:noFill/>
                              <a:ln>
                                <a:noFill/>
                              </a:ln>
                            </wps:spPr>
                            <wps:txbx>
                              <w:txbxContent>
                                <w:p w14:paraId="27334D1F" w14:textId="77777777" w:rsidR="00540D58" w:rsidRDefault="00540D58">
                                  <w:pPr>
                                    <w:spacing w:line="240" w:lineRule="auto"/>
                                    <w:textDirection w:val="btLr"/>
                                  </w:pPr>
                                </w:p>
                              </w:txbxContent>
                            </wps:txbx>
                            <wps:bodyPr spcFirstLastPara="1" wrap="square" lIns="91425" tIns="91425" rIns="91425" bIns="91425" anchor="ctr" anchorCtr="0">
                              <a:noAutofit/>
                            </wps:bodyPr>
                          </wps:wsp>
                          <wps:wsp>
                            <wps:cNvPr id="5" name="Rectángulo 5"/>
                            <wps:cNvSpPr/>
                            <wps:spPr>
                              <a:xfrm>
                                <a:off x="76200" y="-53568"/>
                                <a:ext cx="6477624" cy="2175184"/>
                              </a:xfrm>
                              <a:prstGeom prst="rect">
                                <a:avLst/>
                              </a:prstGeom>
                              <a:noFill/>
                              <a:ln w="9525" cap="flat" cmpd="sng">
                                <a:solidFill>
                                  <a:schemeClr val="dk1"/>
                                </a:solidFill>
                                <a:prstDash val="dash"/>
                                <a:round/>
                                <a:headEnd type="none" w="sm" len="sm"/>
                                <a:tailEnd type="none" w="sm" len="sm"/>
                              </a:ln>
                            </wps:spPr>
                            <wps:txbx>
                              <w:txbxContent>
                                <w:p w14:paraId="1EC32488" w14:textId="77777777" w:rsidR="00540D58" w:rsidRDefault="006E7D3E">
                                  <w:pPr>
                                    <w:spacing w:line="240" w:lineRule="auto"/>
                                    <w:textDirection w:val="btLr"/>
                                  </w:pPr>
                                  <w:r>
                                    <w:rPr>
                                      <w:b/>
                                      <w:color w:val="004231"/>
                                      <w:sz w:val="18"/>
                                    </w:rPr>
                                    <w:t xml:space="preserve">Sobre BNP </w:t>
                                  </w:r>
                                  <w:proofErr w:type="spellStart"/>
                                  <w:r>
                                    <w:rPr>
                                      <w:b/>
                                      <w:color w:val="004231"/>
                                      <w:sz w:val="18"/>
                                    </w:rPr>
                                    <w:t>Paribas</w:t>
                                  </w:r>
                                  <w:proofErr w:type="spellEnd"/>
                                  <w:r>
                                    <w:rPr>
                                      <w:b/>
                                      <w:color w:val="004231"/>
                                      <w:sz w:val="18"/>
                                    </w:rPr>
                                    <w:t xml:space="preserve"> Real Estate</w:t>
                                  </w:r>
                                </w:p>
                                <w:p w14:paraId="3F5D3685" w14:textId="77777777" w:rsidR="00540D58" w:rsidRDefault="006E7D3E">
                                  <w:pPr>
                                    <w:spacing w:line="275" w:lineRule="auto"/>
                                    <w:textDirection w:val="btLr"/>
                                  </w:pPr>
                                  <w:r>
                                    <w:rPr>
                                      <w:color w:val="808080"/>
                                      <w:sz w:val="16"/>
                                    </w:rPr>
                                    <w:t xml:space="preserve">BNP </w:t>
                                  </w:r>
                                  <w:proofErr w:type="spellStart"/>
                                  <w:r>
                                    <w:rPr>
                                      <w:color w:val="808080"/>
                                      <w:sz w:val="16"/>
                                    </w:rPr>
                                    <w:t>Paribas</w:t>
                                  </w:r>
                                  <w:proofErr w:type="spellEnd"/>
                                  <w:r>
                                    <w:rPr>
                                      <w:color w:val="808080"/>
                                      <w:sz w:val="16"/>
                                    </w:rPr>
                                    <w:t xml:space="preserve"> Real Estate, uno de los principales actores inmobiliarios internacionales, ofrece a sus clientes una amplia gama de servicios que abarcan todo el ciclo de vida inmobiliario: Desarrollo Inmobiliario, Transacciones, Consultoría, Valoración, Gestión Inmobiliaria y Gestión de Inversiones. Con 5.300 empleados, BNP </w:t>
                                  </w:r>
                                  <w:proofErr w:type="spellStart"/>
                                  <w:r>
                                    <w:rPr>
                                      <w:color w:val="808080"/>
                                      <w:sz w:val="16"/>
                                    </w:rPr>
                                    <w:t>Paribas</w:t>
                                  </w:r>
                                  <w:proofErr w:type="spellEnd"/>
                                  <w:r>
                                    <w:rPr>
                                      <w:color w:val="808080"/>
                                      <w:sz w:val="16"/>
                                    </w:rPr>
                                    <w:t xml:space="preserve"> Real Estate, apoya a propietarios, arrendatarios, inversores y comunidades gracias a su experiencia local en 23 países (a través de sus oficinas y su red de alianzas) en Europa, Oriente Medio y Asia. BNP </w:t>
                                  </w:r>
                                  <w:proofErr w:type="spellStart"/>
                                  <w:r>
                                    <w:rPr>
                                      <w:color w:val="808080"/>
                                      <w:sz w:val="16"/>
                                    </w:rPr>
                                    <w:t>Paribas</w:t>
                                  </w:r>
                                  <w:proofErr w:type="spellEnd"/>
                                  <w:r>
                                    <w:rPr>
                                      <w:color w:val="808080"/>
                                      <w:sz w:val="16"/>
                                    </w:rPr>
                                    <w:t xml:space="preserve"> Real Estate forma parte del Grupo BNP </w:t>
                                  </w:r>
                                  <w:proofErr w:type="spellStart"/>
                                  <w:r>
                                    <w:rPr>
                                      <w:color w:val="808080"/>
                                      <w:sz w:val="16"/>
                                    </w:rPr>
                                    <w:t>Paribas</w:t>
                                  </w:r>
                                  <w:proofErr w:type="spellEnd"/>
                                  <w:r>
                                    <w:rPr>
                                      <w:color w:val="808080"/>
                                      <w:sz w:val="16"/>
                                    </w:rPr>
                                    <w:t xml:space="preserve">, líder mundial en servicios financieros. </w:t>
                                  </w:r>
                                </w:p>
                                <w:p w14:paraId="7601603C" w14:textId="77777777" w:rsidR="00540D58" w:rsidRDefault="006E7D3E">
                                  <w:pPr>
                                    <w:spacing w:line="275" w:lineRule="auto"/>
                                    <w:textDirection w:val="btLr"/>
                                  </w:pPr>
                                  <w:r>
                                    <w:rPr>
                                      <w:color w:val="808080"/>
                                      <w:sz w:val="16"/>
                                    </w:rPr>
                                    <w:t xml:space="preserve">Como empresa comprometida con las ciudades sostenibles, BNP </w:t>
                                  </w:r>
                                  <w:proofErr w:type="spellStart"/>
                                  <w:r>
                                    <w:rPr>
                                      <w:color w:val="808080"/>
                                      <w:sz w:val="16"/>
                                    </w:rPr>
                                    <w:t>Paribas</w:t>
                                  </w:r>
                                  <w:proofErr w:type="spellEnd"/>
                                  <w:r>
                                    <w:rPr>
                                      <w:color w:val="808080"/>
                                      <w:sz w:val="16"/>
                                    </w:rPr>
                                    <w:t xml:space="preserve"> Real Estate pretende encabezar la transición hacia un sector inmobiliario más sostenible: con bajas emisiones de carbono, resistente, integrador y propicio al bienestar. Para lograrlo, la empresa ha desarrollado una política de RSC con cuatro objetivos: mejorar de forma ética y responsable el rendimiento económico y el uso de los edificios; integrar una transición baja en carbono y reducir su huella medioambiental; garantizar el desarrollo, el compromiso y el bienestar de sus empleados; ser una parte interesada proactiva en el sector inmobiliario y crear iniciativas y asociaciones locales.</w:t>
                                  </w:r>
                                </w:p>
                                <w:p w14:paraId="2DD5C86C" w14:textId="6B7D0F9B" w:rsidR="00540D58" w:rsidRDefault="006E7D3E">
                                  <w:pPr>
                                    <w:spacing w:line="275" w:lineRule="auto"/>
                                    <w:textDirection w:val="btLr"/>
                                  </w:pPr>
                                  <w:r>
                                    <w:rPr>
                                      <w:b/>
                                      <w:color w:val="808080"/>
                                      <w:sz w:val="18"/>
                                    </w:rPr>
                                    <w:t>Síg</w:t>
                                  </w:r>
                                  <w:r w:rsidR="002C76CC">
                                    <w:rPr>
                                      <w:b/>
                                      <w:color w:val="808080"/>
                                      <w:sz w:val="18"/>
                                    </w:rPr>
                                    <w:t>u</w:t>
                                  </w:r>
                                  <w:r>
                                    <w:rPr>
                                      <w:b/>
                                      <w:color w:val="808080"/>
                                      <w:sz w:val="18"/>
                                    </w:rPr>
                                    <w:t xml:space="preserve">enos en </w:t>
                                  </w:r>
                                  <w:r>
                                    <w:rPr>
                                      <w:rFonts w:ascii="Times New Roman" w:eastAsia="Times New Roman" w:hAnsi="Times New Roman" w:cs="Times New Roman"/>
                                      <w:color w:val="000000"/>
                                      <w:sz w:val="26"/>
                                    </w:rPr>
                                    <w:t xml:space="preserve"> </w:t>
                                  </w:r>
                                  <w:r>
                                    <w:rPr>
                                      <w:color w:val="000000"/>
                                      <w:sz w:val="16"/>
                                    </w:rPr>
                                    <w:t xml:space="preserve">        </w:t>
                                  </w:r>
                                </w:p>
                                <w:p w14:paraId="7D769CFD" w14:textId="77777777" w:rsidR="00540D58" w:rsidRDefault="006E7D3E">
                                  <w:pPr>
                                    <w:spacing w:line="275" w:lineRule="auto"/>
                                    <w:ind w:left="1275" w:firstLine="2550"/>
                                    <w:textDirection w:val="btLr"/>
                                  </w:pPr>
                                  <w:r>
                                    <w:rPr>
                                      <w:color w:val="0000FF"/>
                                      <w:sz w:val="16"/>
                                    </w:rPr>
                                    <w:t>#BEYONDBUILDINGS</w:t>
                                  </w:r>
                                </w:p>
                                <w:p w14:paraId="4A719A3C" w14:textId="77777777" w:rsidR="00540D58" w:rsidRDefault="00540D58">
                                  <w:pPr>
                                    <w:spacing w:line="275" w:lineRule="auto"/>
                                    <w:textDirection w:val="btLr"/>
                                  </w:pPr>
                                </w:p>
                              </w:txbxContent>
                            </wps:txbx>
                            <wps:bodyPr spcFirstLastPara="1" wrap="square" lIns="91425" tIns="90000" rIns="91425" bIns="90000" anchor="ctr" anchorCtr="0">
                              <a:noAutofit/>
                            </wps:bodyPr>
                          </wps:wsp>
                          <wps:wsp>
                            <wps:cNvPr id="6" name="Rectángulo 6"/>
                            <wps:cNvSpPr/>
                            <wps:spPr>
                              <a:xfrm>
                                <a:off x="2661780" y="1486796"/>
                                <a:ext cx="3771900" cy="361809"/>
                              </a:xfrm>
                              <a:prstGeom prst="rect">
                                <a:avLst/>
                              </a:prstGeom>
                              <a:noFill/>
                              <a:ln>
                                <a:noFill/>
                              </a:ln>
                            </wps:spPr>
                            <wps:txbx>
                              <w:txbxContent>
                                <w:p w14:paraId="66A0525F" w14:textId="77777777" w:rsidR="00540D58" w:rsidRDefault="006E7D3E">
                                  <w:pPr>
                                    <w:spacing w:line="275" w:lineRule="auto"/>
                                    <w:ind w:left="-850" w:hanging="1700"/>
                                    <w:jc w:val="right"/>
                                    <w:textDirection w:val="btLr"/>
                                  </w:pPr>
                                  <w:r>
                                    <w:rPr>
                                      <w:color w:val="808080"/>
                                      <w:sz w:val="16"/>
                                    </w:rPr>
                                    <w:t xml:space="preserve">Para más información: </w:t>
                                  </w:r>
                                  <w:r>
                                    <w:rPr>
                                      <w:color w:val="0000FF"/>
                                      <w:sz w:val="16"/>
                                      <w:u w:val="single"/>
                                    </w:rPr>
                                    <w:t>www.realestate.bnpparibas.com</w:t>
                                  </w:r>
                                  <w:r>
                                    <w:rPr>
                                      <w:color w:val="808080"/>
                                      <w:sz w:val="16"/>
                                      <w:u w:val="single"/>
                                    </w:rPr>
                                    <w:t xml:space="preserve">  </w:t>
                                  </w:r>
                                </w:p>
                                <w:p w14:paraId="2F84E11B" w14:textId="77777777" w:rsidR="00540D58" w:rsidRPr="00B604EC" w:rsidRDefault="006E7D3E">
                                  <w:pPr>
                                    <w:spacing w:line="275" w:lineRule="auto"/>
                                    <w:ind w:left="-850" w:hanging="1700"/>
                                    <w:jc w:val="right"/>
                                    <w:textDirection w:val="btLr"/>
                                    <w:rPr>
                                      <w:lang w:val="en-US"/>
                                    </w:rPr>
                                  </w:pPr>
                                  <w:r w:rsidRPr="00B604EC">
                                    <w:rPr>
                                      <w:b/>
                                      <w:color w:val="004231"/>
                                      <w:sz w:val="16"/>
                                      <w:lang w:val="en-US"/>
                                    </w:rPr>
                                    <w:t>Real estate for a changing world</w:t>
                                  </w:r>
                                </w:p>
                              </w:txbxContent>
                            </wps:txbx>
                            <wps:bodyPr spcFirstLastPara="1" wrap="square" lIns="91425" tIns="45700" rIns="91425" bIns="45700" anchor="t" anchorCtr="0">
                              <a:noAutofit/>
                            </wps:bodyPr>
                          </wps:wsp>
                        </wpg:grpSp>
                      </wpg:grpSp>
                    </wpg:wgp>
                  </a:graphicData>
                </a:graphic>
              </wp:anchor>
            </w:drawing>
          </mc:Choice>
          <mc:Fallback>
            <w:pict>
              <v:group w14:anchorId="3EFB9D16" id="Grupo 47" o:spid="_x0000_s1027" style="position:absolute;margin-left:-24pt;margin-top:9pt;width:510.1pt;height:217.9pt;z-index:251659264" coordorigin="21068,24417" coordsize="64782,27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">
                <v:group id="Grupo 1" o:spid="_x0000_s1028" style="position:absolute;left:21068;top:24417;width:64783;height:27673" coordorigin="21021,24369" coordsize="64878,2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9" style="position:absolute;left:21021;top:24369;width:64878;height:26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A14609E" w14:textId="77777777" w:rsidR="00540D58" w:rsidRDefault="00540D58">
                          <w:pPr>
                            <w:spacing w:line="240" w:lineRule="auto"/>
                            <w:textDirection w:val="btLr"/>
                          </w:pPr>
                        </w:p>
                      </w:txbxContent>
                    </v:textbox>
                  </v:rect>
                  <v:group id="Grupo 3" o:spid="_x0000_s1030" style="position:absolute;left:21068;top:24417;width:64783;height:27724" coordorigin="762,-535" coordsize="64782,21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1" style="position:absolute;left:762;top:-535;width:64782;height:20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27334D1F" w14:textId="77777777" w:rsidR="00540D58" w:rsidRDefault="00540D58">
                            <w:pPr>
                              <w:spacing w:line="240" w:lineRule="auto"/>
                              <w:textDirection w:val="btLr"/>
                            </w:pPr>
                          </w:p>
                        </w:txbxContent>
                      </v:textbox>
                    </v:rect>
                    <v:rect id="Rectángulo 5" o:spid="_x0000_s1032" style="position:absolute;left:762;top:-535;width:64776;height:217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" filled="f" strokecolor="black [3200]">
                      <v:stroke dashstyle="dash" startarrowwidth="narrow" startarrowlength="short" endarrowwidth="narrow" endarrowlength="short" joinstyle="round"/>
                      <v:textbox inset="2.53958mm,2.5mm,2.53958mm,2.5mm">
                        <w:txbxContent>
                          <w:p w14:paraId="1EC32488" w14:textId="77777777" w:rsidR="00540D58" w:rsidRDefault="006E7D3E">
                            <w:pPr>
                              <w:spacing w:line="240" w:lineRule="auto"/>
                              <w:textDirection w:val="btLr"/>
                            </w:pPr>
                            <w:r>
                              <w:rPr>
                                <w:b/>
                                <w:color w:val="004231"/>
                                <w:sz w:val="18"/>
                              </w:rPr>
                              <w:t xml:space="preserve">Sobre BNP </w:t>
                            </w:r>
                            <w:proofErr w:type="spellStart"/>
                            <w:r>
                              <w:rPr>
                                <w:b/>
                                <w:color w:val="004231"/>
                                <w:sz w:val="18"/>
                              </w:rPr>
                              <w:t>Paribas</w:t>
                            </w:r>
                            <w:proofErr w:type="spellEnd"/>
                            <w:r>
                              <w:rPr>
                                <w:b/>
                                <w:color w:val="004231"/>
                                <w:sz w:val="18"/>
                              </w:rPr>
                              <w:t xml:space="preserve"> Real Estate</w:t>
                            </w:r>
                          </w:p>
                          <w:p w14:paraId="3F5D3685" w14:textId="77777777" w:rsidR="00540D58" w:rsidRDefault="006E7D3E">
                            <w:pPr>
                              <w:spacing w:line="275" w:lineRule="auto"/>
                              <w:textDirection w:val="btLr"/>
                            </w:pPr>
                            <w:r>
                              <w:rPr>
                                <w:color w:val="808080"/>
                                <w:sz w:val="16"/>
                              </w:rPr>
                              <w:t xml:space="preserve">BNP </w:t>
                            </w:r>
                            <w:proofErr w:type="spellStart"/>
                            <w:r>
                              <w:rPr>
                                <w:color w:val="808080"/>
                                <w:sz w:val="16"/>
                              </w:rPr>
                              <w:t>Paribas</w:t>
                            </w:r>
                            <w:proofErr w:type="spellEnd"/>
                            <w:r>
                              <w:rPr>
                                <w:color w:val="808080"/>
                                <w:sz w:val="16"/>
                              </w:rPr>
                              <w:t xml:space="preserve"> Real Estate, uno de los principales actores inmobiliarios internacionales, ofrece a sus clientes una amplia gama de servicios que abarcan todo el ciclo de vida inmobiliario: Desarrollo Inmobiliario, Transacciones, Consultoría, Valoración, Gestión Inmobiliaria y Gestión de Inversiones. Con 5.300 empleados, BNP </w:t>
                            </w:r>
                            <w:proofErr w:type="spellStart"/>
                            <w:r>
                              <w:rPr>
                                <w:color w:val="808080"/>
                                <w:sz w:val="16"/>
                              </w:rPr>
                              <w:t>Paribas</w:t>
                            </w:r>
                            <w:proofErr w:type="spellEnd"/>
                            <w:r>
                              <w:rPr>
                                <w:color w:val="808080"/>
                                <w:sz w:val="16"/>
                              </w:rPr>
                              <w:t xml:space="preserve"> Real Estate, apoya a propietarios, arrendatarios, inversores y comunidades gracias a su experiencia local en 23 países (a través de sus oficinas y su red de alianzas) en Europa, Oriente Medio y Asia. BNP </w:t>
                            </w:r>
                            <w:proofErr w:type="spellStart"/>
                            <w:r>
                              <w:rPr>
                                <w:color w:val="808080"/>
                                <w:sz w:val="16"/>
                              </w:rPr>
                              <w:t>Paribas</w:t>
                            </w:r>
                            <w:proofErr w:type="spellEnd"/>
                            <w:r>
                              <w:rPr>
                                <w:color w:val="808080"/>
                                <w:sz w:val="16"/>
                              </w:rPr>
                              <w:t xml:space="preserve"> Real Estate forma parte del Grupo BNP </w:t>
                            </w:r>
                            <w:proofErr w:type="spellStart"/>
                            <w:r>
                              <w:rPr>
                                <w:color w:val="808080"/>
                                <w:sz w:val="16"/>
                              </w:rPr>
                              <w:t>Paribas</w:t>
                            </w:r>
                            <w:proofErr w:type="spellEnd"/>
                            <w:r>
                              <w:rPr>
                                <w:color w:val="808080"/>
                                <w:sz w:val="16"/>
                              </w:rPr>
                              <w:t xml:space="preserve">, líder mundial en servicios financieros. </w:t>
                            </w:r>
                          </w:p>
                          <w:p w14:paraId="7601603C" w14:textId="77777777" w:rsidR="00540D58" w:rsidRDefault="006E7D3E">
                            <w:pPr>
                              <w:spacing w:line="275" w:lineRule="auto"/>
                              <w:textDirection w:val="btLr"/>
                            </w:pPr>
                            <w:r>
                              <w:rPr>
                                <w:color w:val="808080"/>
                                <w:sz w:val="16"/>
                              </w:rPr>
                              <w:t xml:space="preserve">Como empresa comprometida con las ciudades sostenibles, BNP </w:t>
                            </w:r>
                            <w:proofErr w:type="spellStart"/>
                            <w:r>
                              <w:rPr>
                                <w:color w:val="808080"/>
                                <w:sz w:val="16"/>
                              </w:rPr>
                              <w:t>Paribas</w:t>
                            </w:r>
                            <w:proofErr w:type="spellEnd"/>
                            <w:r>
                              <w:rPr>
                                <w:color w:val="808080"/>
                                <w:sz w:val="16"/>
                              </w:rPr>
                              <w:t xml:space="preserve"> Real Estate pretende encabezar la transición hacia un sector inmobiliario más sostenible: con bajas emisiones de carbono, resistente, integrador y propicio al bienestar. Para lograrlo, la empresa ha desarrollado una política de RSC con cuatro objetivos: mejorar de forma ética y responsable el rendimiento económico y el uso de los edificios; integrar una transición baja en carbono y reducir su huella medioambiental; garantizar el desarrollo, el compromiso y el bienestar de sus empleados; ser una parte interesada proactiva en el sector inmobiliario y crear iniciativas y asociaciones locales.</w:t>
                            </w:r>
                          </w:p>
                          <w:p w14:paraId="2DD5C86C" w14:textId="6B7D0F9B" w:rsidR="00540D58" w:rsidRDefault="006E7D3E">
                            <w:pPr>
                              <w:spacing w:line="275" w:lineRule="auto"/>
                              <w:textDirection w:val="btLr"/>
                            </w:pPr>
                            <w:r>
                              <w:rPr>
                                <w:b/>
                                <w:color w:val="808080"/>
                                <w:sz w:val="18"/>
                              </w:rPr>
                              <w:t>Síg</w:t>
                            </w:r>
                            <w:r w:rsidR="002C76CC">
                              <w:rPr>
                                <w:b/>
                                <w:color w:val="808080"/>
                                <w:sz w:val="18"/>
                              </w:rPr>
                              <w:t>u</w:t>
                            </w:r>
                            <w:r>
                              <w:rPr>
                                <w:b/>
                                <w:color w:val="808080"/>
                                <w:sz w:val="18"/>
                              </w:rPr>
                              <w:t xml:space="preserve">enos en </w:t>
                            </w:r>
                            <w:r>
                              <w:rPr>
                                <w:rFonts w:ascii="Times New Roman" w:eastAsia="Times New Roman" w:hAnsi="Times New Roman" w:cs="Times New Roman"/>
                                <w:color w:val="000000"/>
                                <w:sz w:val="26"/>
                              </w:rPr>
                              <w:t xml:space="preserve"> </w:t>
                            </w:r>
                            <w:r>
                              <w:rPr>
                                <w:color w:val="000000"/>
                                <w:sz w:val="16"/>
                              </w:rPr>
                              <w:t xml:space="preserve">        </w:t>
                            </w:r>
                          </w:p>
                          <w:p w14:paraId="7D769CFD" w14:textId="77777777" w:rsidR="00540D58" w:rsidRDefault="006E7D3E">
                            <w:pPr>
                              <w:spacing w:line="275" w:lineRule="auto"/>
                              <w:ind w:left="1275" w:firstLine="2550"/>
                              <w:textDirection w:val="btLr"/>
                            </w:pPr>
                            <w:r>
                              <w:rPr>
                                <w:color w:val="0000FF"/>
                                <w:sz w:val="16"/>
                              </w:rPr>
                              <w:t>#BEYONDBUILDINGS</w:t>
                            </w:r>
                          </w:p>
                          <w:p w14:paraId="4A719A3C" w14:textId="77777777" w:rsidR="00540D58" w:rsidRDefault="00540D58">
                            <w:pPr>
                              <w:spacing w:line="275" w:lineRule="auto"/>
                              <w:textDirection w:val="btLr"/>
                            </w:pPr>
                          </w:p>
                        </w:txbxContent>
                      </v:textbox>
                    </v:rect>
                    <v:rect id="Rectángulo 6" o:spid="_x0000_s1033" style="position:absolute;left:26617;top:14867;width:37719;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" filled="f" stroked="f">
                      <v:textbox inset="2.53958mm,1.2694mm,2.53958mm,1.2694mm">
                        <w:txbxContent>
                          <w:p w14:paraId="66A0525F" w14:textId="77777777" w:rsidR="00540D58" w:rsidRDefault="006E7D3E">
                            <w:pPr>
                              <w:spacing w:line="275" w:lineRule="auto"/>
                              <w:ind w:left="-850" w:hanging="1700"/>
                              <w:jc w:val="right"/>
                              <w:textDirection w:val="btLr"/>
                            </w:pPr>
                            <w:r>
                              <w:rPr>
                                <w:color w:val="808080"/>
                                <w:sz w:val="16"/>
                              </w:rPr>
                              <w:t xml:space="preserve">Para más información: </w:t>
                            </w:r>
                            <w:r>
                              <w:rPr>
                                <w:color w:val="0000FF"/>
                                <w:sz w:val="16"/>
                                <w:u w:val="single"/>
                              </w:rPr>
                              <w:t>www.realestate.bnpparibas.com</w:t>
                            </w:r>
                            <w:r>
                              <w:rPr>
                                <w:color w:val="808080"/>
                                <w:sz w:val="16"/>
                                <w:u w:val="single"/>
                              </w:rPr>
                              <w:t xml:space="preserve">  </w:t>
                            </w:r>
                          </w:p>
                          <w:p w14:paraId="2F84E11B" w14:textId="77777777" w:rsidR="00540D58" w:rsidRPr="00B604EC" w:rsidRDefault="006E7D3E">
                            <w:pPr>
                              <w:spacing w:line="275" w:lineRule="auto"/>
                              <w:ind w:left="-850" w:hanging="1700"/>
                              <w:jc w:val="right"/>
                              <w:textDirection w:val="btLr"/>
                              <w:rPr>
                                <w:lang w:val="en-US"/>
                              </w:rPr>
                            </w:pPr>
                            <w:r w:rsidRPr="00B604EC">
                              <w:rPr>
                                <w:b/>
                                <w:color w:val="004231"/>
                                <w:sz w:val="16"/>
                                <w:lang w:val="en-US"/>
                              </w:rPr>
                              <w:t>Real estate for a changing world</w:t>
                            </w:r>
                          </w:p>
                        </w:txbxContent>
                      </v:textbox>
                    </v:rect>
                  </v:group>
                </v:group>
              </v:group>
            </w:pict>
          </mc:Fallback>
        </mc:AlternateContent>
      </w:r>
    </w:p>
    <w:p w14:paraId="7FD1B605" w14:textId="77777777" w:rsidR="00540D58" w:rsidRDefault="00540D58">
      <w:pPr>
        <w:spacing w:line="360" w:lineRule="auto"/>
      </w:pPr>
    </w:p>
    <w:p w14:paraId="2B40E643" w14:textId="77777777" w:rsidR="00540D58" w:rsidRDefault="00540D58">
      <w:pPr>
        <w:spacing w:line="240" w:lineRule="auto"/>
        <w:rPr>
          <w:strike/>
        </w:rPr>
      </w:pPr>
    </w:p>
    <w:p w14:paraId="73CE6956" w14:textId="77777777" w:rsidR="00540D58" w:rsidRDefault="00540D58"/>
    <w:p w14:paraId="50ABEFA4" w14:textId="77777777" w:rsidR="00540D58" w:rsidRDefault="00540D58">
      <w:pPr>
        <w:pStyle w:val="Ttulo"/>
        <w:spacing w:before="280" w:after="280" w:line="240" w:lineRule="auto"/>
        <w:rPr>
          <w:sz w:val="24"/>
          <w:szCs w:val="24"/>
        </w:rPr>
      </w:pPr>
    </w:p>
    <w:p w14:paraId="6F1559E4" w14:textId="77777777" w:rsidR="00540D58" w:rsidRDefault="00540D58"/>
    <w:p w14:paraId="21266E93" w14:textId="77777777" w:rsidR="00540D58" w:rsidRDefault="00540D58"/>
    <w:p w14:paraId="5A6CC2DC" w14:textId="20992620" w:rsidR="00540D58" w:rsidRDefault="00540D58">
      <w:pPr>
        <w:spacing w:before="1"/>
        <w:jc w:val="both"/>
        <w:rPr>
          <w:b/>
          <w:color w:val="004230"/>
          <w:sz w:val="18"/>
          <w:szCs w:val="18"/>
        </w:rPr>
      </w:pPr>
    </w:p>
    <w:p w14:paraId="197C5A60" w14:textId="5ABE9A1F" w:rsidR="00540D58" w:rsidRDefault="00540D58">
      <w:pPr>
        <w:spacing w:before="1"/>
        <w:jc w:val="both"/>
        <w:rPr>
          <w:b/>
          <w:color w:val="004230"/>
          <w:sz w:val="18"/>
          <w:szCs w:val="18"/>
        </w:rPr>
      </w:pPr>
    </w:p>
    <w:p w14:paraId="52A3D04B" w14:textId="35917B78" w:rsidR="00540D58" w:rsidRDefault="00540D58">
      <w:pPr>
        <w:spacing w:before="1"/>
        <w:jc w:val="both"/>
        <w:rPr>
          <w:b/>
          <w:color w:val="004230"/>
          <w:sz w:val="18"/>
          <w:szCs w:val="18"/>
        </w:rPr>
      </w:pPr>
    </w:p>
    <w:p w14:paraId="717AA8A8" w14:textId="41F5EAF3" w:rsidR="00540D58" w:rsidRDefault="00540D58">
      <w:pPr>
        <w:spacing w:before="1"/>
        <w:jc w:val="both"/>
        <w:rPr>
          <w:b/>
          <w:color w:val="004230"/>
          <w:sz w:val="18"/>
          <w:szCs w:val="18"/>
        </w:rPr>
      </w:pPr>
    </w:p>
    <w:p w14:paraId="09A525F4" w14:textId="688E9BA5" w:rsidR="00540D58" w:rsidRDefault="00540D58">
      <w:pPr>
        <w:spacing w:before="1"/>
        <w:jc w:val="both"/>
        <w:rPr>
          <w:b/>
          <w:color w:val="004230"/>
          <w:sz w:val="18"/>
          <w:szCs w:val="18"/>
        </w:rPr>
      </w:pPr>
    </w:p>
    <w:p w14:paraId="1FADAAEE" w14:textId="404B4BE1" w:rsidR="00540D58" w:rsidRDefault="00540D58">
      <w:pPr>
        <w:spacing w:before="1"/>
        <w:jc w:val="both"/>
        <w:rPr>
          <w:b/>
          <w:color w:val="004230"/>
          <w:sz w:val="18"/>
          <w:szCs w:val="18"/>
        </w:rPr>
      </w:pPr>
    </w:p>
    <w:p w14:paraId="64832328" w14:textId="67FC5FE4" w:rsidR="00540D58" w:rsidRDefault="00540D58">
      <w:pPr>
        <w:spacing w:before="1"/>
        <w:jc w:val="both"/>
        <w:rPr>
          <w:b/>
          <w:color w:val="004230"/>
          <w:sz w:val="18"/>
          <w:szCs w:val="18"/>
        </w:rPr>
      </w:pPr>
    </w:p>
    <w:p w14:paraId="15E8A64D" w14:textId="5EE85315" w:rsidR="00540D58" w:rsidRDefault="00540D58">
      <w:pPr>
        <w:spacing w:before="1"/>
        <w:jc w:val="both"/>
        <w:rPr>
          <w:b/>
          <w:color w:val="004230"/>
          <w:sz w:val="18"/>
          <w:szCs w:val="18"/>
        </w:rPr>
      </w:pPr>
    </w:p>
    <w:p w14:paraId="1940999D" w14:textId="20079B94" w:rsidR="00540D58" w:rsidRDefault="006E7D3E">
      <w:pPr>
        <w:spacing w:before="1"/>
        <w:jc w:val="both"/>
        <w:rPr>
          <w:b/>
          <w:color w:val="808080"/>
          <w:sz w:val="16"/>
          <w:szCs w:val="16"/>
        </w:rPr>
      </w:pPr>
      <w:r>
        <w:rPr>
          <w:b/>
          <w:color w:val="004230"/>
          <w:sz w:val="18"/>
          <w:szCs w:val="18"/>
        </w:rPr>
        <w:t>Para más información</w:t>
      </w:r>
    </w:p>
    <w:p w14:paraId="5E51D401" w14:textId="77777777" w:rsidR="00540D58" w:rsidRDefault="006E7D3E">
      <w:pPr>
        <w:spacing w:before="1"/>
        <w:jc w:val="both"/>
        <w:rPr>
          <w:color w:val="0563C1"/>
          <w:sz w:val="16"/>
          <w:szCs w:val="16"/>
          <w:u w:val="single"/>
        </w:rPr>
      </w:pPr>
      <w:r>
        <w:rPr>
          <w:b/>
          <w:color w:val="808080"/>
          <w:sz w:val="16"/>
          <w:szCs w:val="16"/>
        </w:rPr>
        <w:t xml:space="preserve">Gina Berni: </w:t>
      </w:r>
      <w:hyperlink r:id="rId8">
        <w:r>
          <w:rPr>
            <w:b/>
            <w:color w:val="0563C1"/>
            <w:sz w:val="16"/>
            <w:szCs w:val="16"/>
            <w:u w:val="single"/>
          </w:rPr>
          <w:t xml:space="preserve">gina.berni@interprofit.es </w:t>
        </w:r>
      </w:hyperlink>
    </w:p>
    <w:p w14:paraId="043F1E82" w14:textId="77777777" w:rsidR="00540D58" w:rsidRDefault="006E7D3E">
      <w:pPr>
        <w:rPr>
          <w:b/>
          <w:sz w:val="16"/>
          <w:szCs w:val="16"/>
        </w:rPr>
      </w:pPr>
      <w:r>
        <w:rPr>
          <w:b/>
          <w:color w:val="808080"/>
          <w:sz w:val="16"/>
          <w:szCs w:val="16"/>
        </w:rPr>
        <w:t xml:space="preserve">Valença Figuera:  Tel – 910 76 70 96– </w:t>
      </w:r>
      <w:hyperlink r:id="rId9">
        <w:r>
          <w:rPr>
            <w:b/>
            <w:color w:val="0563C1"/>
            <w:sz w:val="16"/>
            <w:szCs w:val="16"/>
            <w:u w:val="single"/>
          </w:rPr>
          <w:t>valenca.figuera@interprofit.es</w:t>
        </w:r>
      </w:hyperlink>
    </w:p>
    <w:p w14:paraId="0482032C" w14:textId="77777777" w:rsidR="00540D58" w:rsidRDefault="00540D58">
      <w:pPr>
        <w:jc w:val="both"/>
      </w:pPr>
    </w:p>
    <w:p w14:paraId="0AC06D54" w14:textId="77777777" w:rsidR="00540D58" w:rsidRDefault="00540D58"/>
    <w:p w14:paraId="132EE7CA" w14:textId="77777777" w:rsidR="00540D58" w:rsidRDefault="00540D58">
      <w:pPr>
        <w:rPr>
          <w:b/>
        </w:rPr>
      </w:pPr>
    </w:p>
    <w:p w14:paraId="097EF3AC" w14:textId="77777777" w:rsidR="00540D58" w:rsidRDefault="00540D58"/>
    <w:p w14:paraId="6656C54E" w14:textId="77777777" w:rsidR="00540D58" w:rsidRDefault="00540D58"/>
    <w:p w14:paraId="29DC278A" w14:textId="77777777" w:rsidR="00540D58" w:rsidRDefault="00540D58"/>
    <w:sectPr w:rsidR="00540D58">
      <w:headerReference w:type="default"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670E9" w14:textId="77777777" w:rsidR="000D0C18" w:rsidRDefault="000D0C18">
      <w:pPr>
        <w:spacing w:line="240" w:lineRule="auto"/>
      </w:pPr>
      <w:r>
        <w:separator/>
      </w:r>
    </w:p>
  </w:endnote>
  <w:endnote w:type="continuationSeparator" w:id="0">
    <w:p w14:paraId="05178458" w14:textId="77777777" w:rsidR="000D0C18" w:rsidRDefault="000D0C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930D" w14:textId="77777777" w:rsidR="00540D58" w:rsidRDefault="006E7D3E">
    <w:pPr>
      <w:pBdr>
        <w:top w:val="nil"/>
        <w:left w:val="nil"/>
        <w:bottom w:val="nil"/>
        <w:right w:val="nil"/>
        <w:between w:val="nil"/>
      </w:pBdr>
      <w:tabs>
        <w:tab w:val="center" w:pos="4252"/>
        <w:tab w:val="right" w:pos="8504"/>
      </w:tabs>
      <w:spacing w:line="240" w:lineRule="auto"/>
      <w:rPr>
        <w:color w:val="000000"/>
      </w:rPr>
    </w:pPr>
    <w:r>
      <w:rPr>
        <w:noProof/>
      </w:rPr>
      <mc:AlternateContent>
        <mc:Choice Requires="wps">
          <w:drawing>
            <wp:anchor distT="0" distB="0" distL="114300" distR="114300" simplePos="0" relativeHeight="251659264" behindDoc="0" locked="0" layoutInCell="1" hidden="0" allowOverlap="1" wp14:anchorId="795D5E40" wp14:editId="0DF5A674">
              <wp:simplePos x="0" y="0"/>
              <wp:positionH relativeFrom="column">
                <wp:posOffset>-914399</wp:posOffset>
              </wp:positionH>
              <wp:positionV relativeFrom="paragraph">
                <wp:posOffset>10210800</wp:posOffset>
              </wp:positionV>
              <wp:extent cx="7571740" cy="282575"/>
              <wp:effectExtent l="0" t="0" r="0" b="0"/>
              <wp:wrapNone/>
              <wp:docPr id="46" name="Rectángulo 46" descr="{&quot;HashCode&quot;:1859994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4893" y="3643475"/>
                        <a:ext cx="7562215" cy="273050"/>
                      </a:xfrm>
                      <a:prstGeom prst="rect">
                        <a:avLst/>
                      </a:prstGeom>
                      <a:noFill/>
                      <a:ln>
                        <a:noFill/>
                      </a:ln>
                    </wps:spPr>
                    <wps:txbx>
                      <w:txbxContent>
                        <w:p w14:paraId="14A60BD2" w14:textId="77777777" w:rsidR="00540D58" w:rsidRDefault="006E7D3E">
                          <w:pPr>
                            <w:spacing w:line="275" w:lineRule="auto"/>
                            <w:jc w:val="right"/>
                            <w:textDirection w:val="btLr"/>
                          </w:pPr>
                          <w:proofErr w:type="spellStart"/>
                          <w:proofErr w:type="gramStart"/>
                          <w:r>
                            <w:rPr>
                              <w:rFonts w:ascii="Calibri" w:eastAsia="Calibri" w:hAnsi="Calibri" w:cs="Calibri"/>
                              <w:color w:val="0000FF"/>
                              <w:sz w:val="20"/>
                            </w:rPr>
                            <w:t>Classification</w:t>
                          </w:r>
                          <w:proofErr w:type="spellEnd"/>
                          <w:r>
                            <w:rPr>
                              <w:rFonts w:ascii="Calibri" w:eastAsia="Calibri" w:hAnsi="Calibri" w:cs="Calibri"/>
                              <w:color w:val="0000FF"/>
                              <w:sz w:val="20"/>
                            </w:rPr>
                            <w:t xml:space="preserve"> :</w:t>
                          </w:r>
                          <w:proofErr w:type="gramEnd"/>
                          <w:r>
                            <w:rPr>
                              <w:rFonts w:ascii="Calibri" w:eastAsia="Calibri" w:hAnsi="Calibri" w:cs="Calibri"/>
                              <w:color w:val="0000FF"/>
                              <w:sz w:val="20"/>
                            </w:rPr>
                            <w:t xml:space="preserve"> </w:t>
                          </w:r>
                          <w:proofErr w:type="spellStart"/>
                          <w:r>
                            <w:rPr>
                              <w:rFonts w:ascii="Calibri" w:eastAsia="Calibri" w:hAnsi="Calibri" w:cs="Calibri"/>
                              <w:color w:val="0000FF"/>
                              <w:sz w:val="20"/>
                            </w:rPr>
                            <w:t>Internal</w:t>
                          </w:r>
                          <w:proofErr w:type="spellEnd"/>
                        </w:p>
                      </w:txbxContent>
                    </wps:txbx>
                    <wps:bodyPr spcFirstLastPara="1" wrap="square" lIns="91425" tIns="0" rIns="254000" bIns="0" anchor="b" anchorCtr="0">
                      <a:noAutofit/>
                    </wps:bodyPr>
                  </wps:wsp>
                </a:graphicData>
              </a:graphic>
            </wp:anchor>
          </w:drawing>
        </mc:Choice>
        <mc:Fallback>
          <w:pict>
            <v:rect w14:anchorId="795D5E40" id="Rectángulo 46" o:spid="_x0000_s1034" alt="{&quot;HashCode&quot;:1859994762,&quot;Height&quot;:841.0,&quot;Width&quot;:595.0,&quot;Placement&quot;:&quot;Footer&quot;,&quot;Index&quot;:&quot;Primary&quot;,&quot;Section&quot;:1,&quot;Top&quot;:0.0,&quot;Left&quot;:0.0}" style="position:absolute;margin-left:-1in;margin-top:804pt;width:596.2pt;height:22.25pt;z-index:2516592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" filled="f" stroked="f">
              <v:textbox inset="2.53958mm,0,20pt,0">
                <w:txbxContent>
                  <w:p w14:paraId="14A60BD2" w14:textId="77777777" w:rsidR="00540D58" w:rsidRDefault="006E7D3E">
                    <w:pPr>
                      <w:spacing w:line="275" w:lineRule="auto"/>
                      <w:jc w:val="right"/>
                      <w:textDirection w:val="btLr"/>
                    </w:pPr>
                    <w:proofErr w:type="spellStart"/>
                    <w:proofErr w:type="gramStart"/>
                    <w:r>
                      <w:rPr>
                        <w:rFonts w:ascii="Calibri" w:eastAsia="Calibri" w:hAnsi="Calibri" w:cs="Calibri"/>
                        <w:color w:val="0000FF"/>
                        <w:sz w:val="20"/>
                      </w:rPr>
                      <w:t>Classification</w:t>
                    </w:r>
                    <w:proofErr w:type="spellEnd"/>
                    <w:r>
                      <w:rPr>
                        <w:rFonts w:ascii="Calibri" w:eastAsia="Calibri" w:hAnsi="Calibri" w:cs="Calibri"/>
                        <w:color w:val="0000FF"/>
                        <w:sz w:val="20"/>
                      </w:rPr>
                      <w:t xml:space="preserve"> :</w:t>
                    </w:r>
                    <w:proofErr w:type="gramEnd"/>
                    <w:r>
                      <w:rPr>
                        <w:rFonts w:ascii="Calibri" w:eastAsia="Calibri" w:hAnsi="Calibri" w:cs="Calibri"/>
                        <w:color w:val="0000FF"/>
                        <w:sz w:val="20"/>
                      </w:rPr>
                      <w:t xml:space="preserve"> </w:t>
                    </w:r>
                    <w:proofErr w:type="spellStart"/>
                    <w:r>
                      <w:rPr>
                        <w:rFonts w:ascii="Calibri" w:eastAsia="Calibri" w:hAnsi="Calibri" w:cs="Calibri"/>
                        <w:color w:val="0000FF"/>
                        <w:sz w:val="20"/>
                      </w:rPr>
                      <w:t>Internal</w:t>
                    </w:r>
                    <w:proofErr w:type="spellEnd"/>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C57C8" w14:textId="77777777" w:rsidR="000D0C18" w:rsidRDefault="000D0C18">
      <w:pPr>
        <w:spacing w:line="240" w:lineRule="auto"/>
      </w:pPr>
      <w:r>
        <w:separator/>
      </w:r>
    </w:p>
  </w:footnote>
  <w:footnote w:type="continuationSeparator" w:id="0">
    <w:p w14:paraId="660FC9C5" w14:textId="77777777" w:rsidR="000D0C18" w:rsidRDefault="000D0C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8CDEB" w14:textId="77777777" w:rsidR="00540D58" w:rsidRDefault="006E7D3E">
    <w:pPr>
      <w:jc w:val="right"/>
    </w:pPr>
    <w:r>
      <w:tab/>
    </w:r>
    <w:r>
      <w:tab/>
    </w:r>
    <w:r>
      <w:tab/>
    </w:r>
    <w:r>
      <w:tab/>
    </w:r>
    <w:r>
      <w:tab/>
    </w:r>
    <w:r>
      <w:tab/>
    </w:r>
    <w:r>
      <w:rPr>
        <w:noProof/>
      </w:rPr>
      <w:drawing>
        <wp:anchor distT="0" distB="0" distL="114300" distR="114300" simplePos="0" relativeHeight="251658240" behindDoc="0" locked="0" layoutInCell="1" hidden="0" allowOverlap="1" wp14:anchorId="1C6E64A6" wp14:editId="5217E29C">
          <wp:simplePos x="0" y="0"/>
          <wp:positionH relativeFrom="column">
            <wp:posOffset>-352424</wp:posOffset>
          </wp:positionH>
          <wp:positionV relativeFrom="paragraph">
            <wp:posOffset>-95249</wp:posOffset>
          </wp:positionV>
          <wp:extent cx="1649730" cy="466725"/>
          <wp:effectExtent l="0" t="0" r="0" b="0"/>
          <wp:wrapSquare wrapText="bothSides" distT="0" distB="0" distL="114300" distR="114300"/>
          <wp:docPr id="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49730" cy="4667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B6C64"/>
    <w:multiLevelType w:val="multilevel"/>
    <w:tmpl w:val="06A065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65675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D58"/>
    <w:rsid w:val="000D0C18"/>
    <w:rsid w:val="002C76CC"/>
    <w:rsid w:val="00461706"/>
    <w:rsid w:val="00540D58"/>
    <w:rsid w:val="005460CD"/>
    <w:rsid w:val="005F2072"/>
    <w:rsid w:val="005F7BED"/>
    <w:rsid w:val="006E7D3E"/>
    <w:rsid w:val="00873148"/>
    <w:rsid w:val="008B77C2"/>
    <w:rsid w:val="008F0043"/>
    <w:rsid w:val="00B604EC"/>
    <w:rsid w:val="00B8392C"/>
    <w:rsid w:val="00BD7674"/>
    <w:rsid w:val="00CB59AF"/>
    <w:rsid w:val="00D3666B"/>
    <w:rsid w:val="00D622D7"/>
    <w:rsid w:val="00DD55A4"/>
    <w:rsid w:val="00FA678C"/>
    <w:rsid w:val="00FD67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8B70"/>
  <w15:docId w15:val="{E1074F47-5FB9-4595-A44F-8CEB2DD6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F71DA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F71DAD"/>
  </w:style>
  <w:style w:type="paragraph" w:styleId="Piedepgina">
    <w:name w:val="footer"/>
    <w:basedOn w:val="Normal"/>
    <w:link w:val="PiedepginaCar"/>
    <w:uiPriority w:val="99"/>
    <w:unhideWhenUsed/>
    <w:rsid w:val="00F71DA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F71DAD"/>
  </w:style>
  <w:style w:type="paragraph" w:styleId="Prrafodelista">
    <w:name w:val="List Paragraph"/>
    <w:basedOn w:val="Normal"/>
    <w:uiPriority w:val="34"/>
    <w:qFormat/>
    <w:rsid w:val="004A23AB"/>
    <w:pPr>
      <w:ind w:left="720"/>
      <w:contextualSpacing/>
    </w:pPr>
  </w:style>
  <w:style w:type="paragraph" w:customStyle="1" w:styleId="gutentor-text">
    <w:name w:val="gutentor-text"/>
    <w:basedOn w:val="Normal"/>
    <w:rsid w:val="00770874"/>
    <w:pPr>
      <w:spacing w:before="100" w:beforeAutospacing="1" w:after="100" w:afterAutospacing="1" w:line="240" w:lineRule="auto"/>
    </w:pPr>
    <w:rPr>
      <w:rFonts w:ascii="Times New Roman" w:eastAsia="Times New Roman" w:hAnsi="Times New Roman" w:cs="Times New Roman"/>
      <w:sz w:val="24"/>
      <w:szCs w:val="24"/>
      <w:lang w:val="es-ES"/>
    </w:rPr>
  </w:style>
  <w:style w:type="character" w:customStyle="1" w:styleId="TtuloCar">
    <w:name w:val="Título Car"/>
    <w:basedOn w:val="Fuentedeprrafopredeter"/>
    <w:link w:val="Ttulo"/>
    <w:uiPriority w:val="10"/>
    <w:rsid w:val="00C149B1"/>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ina.berni@interprofit.es%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lenca.figuera@interprofit.es%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OSWdIUvqBz081yVfVhaNzfU3Xg==">CgMxLjA4AHIhMUxTUUFMTHZnUzlwSnJNM08tTW1mNFJGR3dqNXJHQU1W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215</Words>
  <Characters>1187</Characters>
  <Application>Microsoft Office Word</Application>
  <DocSecurity>4</DocSecurity>
  <Lines>9</Lines>
  <Paragraphs>2</Paragraphs>
  <ScaleCrop>false</ScaleCrop>
  <Company>BNP Paribas</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Alvaro GARCIA-PERROTE PARDO DE SANTAYAN</dc:creator>
  <cp:lastModifiedBy>Maria GONZALEZ CORISCO</cp:lastModifiedBy>
  <cp:revision>2</cp:revision>
  <dcterms:created xsi:type="dcterms:W3CDTF">2023-11-02T07:25:00Z</dcterms:created>
  <dcterms:modified xsi:type="dcterms:W3CDTF">2023-11-02T07:25:00Z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2e1ed0-4700-41e0-aec3-61ed249f3333_Enabled">
    <vt:lpwstr>true</vt:lpwstr>
  </property>
  <property fmtid="{D5CDD505-2E9C-101B-9397-08002B2CF9AE}" pid="3" name="MSIP_Label_812e1ed0-4700-41e0-aec3-61ed249f3333_SetDate">
    <vt:lpwstr>2022-03-30T09:53:16Z</vt:lpwstr>
  </property>
  <property fmtid="{D5CDD505-2E9C-101B-9397-08002B2CF9AE}" pid="4" name="MSIP_Label_812e1ed0-4700-41e0-aec3-61ed249f3333_Method">
    <vt:lpwstr>Standard</vt:lpwstr>
  </property>
  <property fmtid="{D5CDD505-2E9C-101B-9397-08002B2CF9AE}" pid="5" name="MSIP_Label_812e1ed0-4700-41e0-aec3-61ed249f3333_Name">
    <vt:lpwstr>Internal - Standard</vt:lpwstr>
  </property>
  <property fmtid="{D5CDD505-2E9C-101B-9397-08002B2CF9AE}" pid="6" name="MSIP_Label_812e1ed0-4700-41e0-aec3-61ed249f3333_SiteId">
    <vt:lpwstr>614f9c25-bffa-42c7-86d8-964101f55fa2</vt:lpwstr>
  </property>
  <property fmtid="{D5CDD505-2E9C-101B-9397-08002B2CF9AE}" pid="7" name="MSIP_Label_812e1ed0-4700-41e0-aec3-61ed249f3333_ActionId">
    <vt:lpwstr>96b2a666-4960-4287-a4bd-2b5fdd01e1e6</vt:lpwstr>
  </property>
  <property fmtid="{D5CDD505-2E9C-101B-9397-08002B2CF9AE}" pid="8" name="MSIP_Label_812e1ed0-4700-41e0-aec3-61ed249f3333_ContentBits">
    <vt:lpwstr>2</vt:lpwstr>
  </property>
</Properties>
</file>